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FC" w:rsidRPr="006954D7" w:rsidRDefault="006954D7" w:rsidP="006954D7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954D7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แบบฟอร์มการขอเพิ่ม</w:t>
      </w:r>
    </w:p>
    <w:p w:rsidR="006954D7" w:rsidRPr="006954D7" w:rsidRDefault="006954D7" w:rsidP="006954D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954D7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ข้อมูลที่เผยแพร่บนเว็บไซต์ของ อ.</w:t>
      </w:r>
      <w:proofErr w:type="spellStart"/>
      <w:r w:rsidRPr="006954D7">
        <w:rPr>
          <w:rFonts w:ascii="TH SarabunPSK" w:hAnsi="TH SarabunPSK" w:cs="TH SarabunPSK" w:hint="cs"/>
          <w:b/>
          <w:bCs/>
          <w:sz w:val="24"/>
          <w:szCs w:val="32"/>
          <w:cs/>
        </w:rPr>
        <w:t>อ.ป.</w:t>
      </w:r>
      <w:proofErr w:type="spellEnd"/>
      <w:r w:rsidRPr="006954D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จำแนกตามหน่วยงานที่รับผิกชอบ</w:t>
      </w:r>
    </w:p>
    <w:tbl>
      <w:tblPr>
        <w:tblStyle w:val="a3"/>
        <w:tblW w:w="9606" w:type="dxa"/>
        <w:tblLook w:val="04A0"/>
      </w:tblPr>
      <w:tblGrid>
        <w:gridCol w:w="959"/>
        <w:gridCol w:w="5103"/>
        <w:gridCol w:w="1559"/>
        <w:gridCol w:w="1985"/>
      </w:tblGrid>
      <w:tr w:rsidR="00D90DD7" w:rsidTr="00CF1F01">
        <w:tc>
          <w:tcPr>
            <w:tcW w:w="959" w:type="dxa"/>
            <w:shd w:val="clear" w:color="auto" w:fill="B8CCE4" w:themeFill="accent1" w:themeFillTint="66"/>
          </w:tcPr>
          <w:p w:rsidR="00D90DD7" w:rsidRPr="006954D7" w:rsidRDefault="00D90DD7" w:rsidP="00D90D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954D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D90DD7" w:rsidRPr="006954D7" w:rsidRDefault="00D90DD7" w:rsidP="006954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954D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หัวข้อข้อมูลที่เผยแพร่บนเว็บไซต์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D90DD7" w:rsidRPr="006954D7" w:rsidRDefault="00D90DD7" w:rsidP="006954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954D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D90DD7" w:rsidRPr="006954D7" w:rsidRDefault="00D90DD7" w:rsidP="006954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954D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กำหนดเวลา </w:t>
            </w:r>
            <w:r w:rsidRPr="006954D7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Update</w:t>
            </w:r>
          </w:p>
        </w:tc>
      </w:tr>
      <w:tr w:rsidR="00D90DD7" w:rsidTr="00CF1F01">
        <w:tc>
          <w:tcPr>
            <w:tcW w:w="959" w:type="dxa"/>
          </w:tcPr>
          <w:p w:rsidR="00D90DD7" w:rsidRDefault="00D90DD7" w:rsidP="00D90D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16.</w:t>
            </w:r>
          </w:p>
        </w:tc>
        <w:tc>
          <w:tcPr>
            <w:tcW w:w="5103" w:type="dxa"/>
          </w:tcPr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D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การบริหารความเสี่ยงและควบคุมภายใน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กฎบัตรคณะกรรมการบริหารความเสี่ยง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-คู่มือปฏิบัติการบริหารความเสี่ยงและควบคุมภายใน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-หลักเกณฑ์/แนวทางปฏิบัติเกี่ยวกับการบริหารความเสี่ยงและควบคุมภายใน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-ประกาศนโยบายการบริหารความเสี่ยง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-ตัวอย่างแบบประเมินการควบคุมภายใน</w:t>
            </w:r>
          </w:p>
          <w:p w:rsidR="00D90DD7" w:rsidRPr="00D90DD7" w:rsidRDefault="00D90DD7" w:rsidP="00D90DD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90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แบบฟอร์มการรายงานผลการบริหารความเสี่ยงและควบคุมภายใน ประจำปี 2558</w:t>
            </w:r>
          </w:p>
        </w:tc>
        <w:tc>
          <w:tcPr>
            <w:tcW w:w="1559" w:type="dxa"/>
          </w:tcPr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</w:tc>
        <w:tc>
          <w:tcPr>
            <w:tcW w:w="1985" w:type="dxa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มกราคม/ที่มีการปรับปรุง</w:t>
            </w:r>
          </w:p>
        </w:tc>
      </w:tr>
      <w:tr w:rsidR="00D90DD7" w:rsidTr="00CF1F01">
        <w:tc>
          <w:tcPr>
            <w:tcW w:w="959" w:type="dxa"/>
          </w:tcPr>
          <w:p w:rsidR="00D90DD7" w:rsidRDefault="00D90DD7" w:rsidP="00D90D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17.</w:t>
            </w:r>
          </w:p>
        </w:tc>
        <w:tc>
          <w:tcPr>
            <w:tcW w:w="5103" w:type="dxa"/>
          </w:tcPr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การบริหารความเสี่ยง(คู่มือการบริหารความเสี่ยง)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-หน้าปกแผนบริหารความเสี่ยง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-แผนบริหารความเสี่ยง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-วาระการประชุม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(ประกอบระบุความเสี่ยง)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-ยุทธศาสตร์ 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(ประกอบระบุความเสี่ยง)</w:t>
            </w:r>
          </w:p>
          <w:p w:rsidR="00D90DD7" w:rsidRPr="00D90DD7" w:rsidRDefault="00D90DD7" w:rsidP="00D90D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-ผลการดำเนินงานรายไตรมาส</w:t>
            </w:r>
          </w:p>
          <w:p w:rsidR="00D90DD7" w:rsidRDefault="00D90DD7" w:rsidP="00D90DD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  <w:p w:rsidR="00CF1F01" w:rsidRDefault="00CF1F01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ส.นผ.</w:t>
            </w:r>
            <w:proofErr w:type="spellEnd"/>
          </w:p>
        </w:tc>
        <w:tc>
          <w:tcPr>
            <w:tcW w:w="1985" w:type="dxa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0DD7" w:rsidRDefault="00D90DD7" w:rsidP="00D90D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รายไตรมาส</w:t>
            </w:r>
          </w:p>
          <w:p w:rsidR="00D90DD7" w:rsidRDefault="00D90DD7" w:rsidP="00D90D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90DD7" w:rsidTr="00CF1F01">
        <w:tc>
          <w:tcPr>
            <w:tcW w:w="959" w:type="dxa"/>
            <w:shd w:val="clear" w:color="auto" w:fill="B8CCE4" w:themeFill="accent1" w:themeFillTint="66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B8CCE4" w:themeFill="accent1" w:themeFillTint="66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D90DD7" w:rsidRDefault="00D90DD7" w:rsidP="006954D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6954D7" w:rsidRDefault="006954D7" w:rsidP="006954D7">
      <w:pPr>
        <w:jc w:val="center"/>
        <w:rPr>
          <w:rFonts w:ascii="TH SarabunPSK" w:hAnsi="TH SarabunPSK" w:cs="TH SarabunPSK"/>
          <w:sz w:val="24"/>
          <w:szCs w:val="32"/>
        </w:rPr>
      </w:pPr>
    </w:p>
    <w:p w:rsidR="006954D7" w:rsidRPr="006954D7" w:rsidRDefault="006954D7" w:rsidP="006954D7">
      <w:pPr>
        <w:rPr>
          <w:rFonts w:ascii="TH SarabunPSK" w:hAnsi="TH SarabunPSK" w:cs="TH SarabunPSK"/>
          <w:b/>
          <w:bCs/>
          <w:sz w:val="24"/>
          <w:szCs w:val="32"/>
        </w:rPr>
      </w:pPr>
      <w:r w:rsidRPr="006954D7"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ข้อเสนอแนะเพิ่มเติม</w:t>
      </w:r>
    </w:p>
    <w:p w:rsidR="00A65A86" w:rsidRDefault="006954D7" w:rsidP="006954D7">
      <w:pPr>
        <w:rPr>
          <w:rFonts w:ascii="TH SarabunPSK" w:hAnsi="TH SarabunPSK" w:cs="TH SarabunPSK" w:hint="cs"/>
          <w:sz w:val="24"/>
          <w:szCs w:val="32"/>
        </w:rPr>
      </w:pPr>
      <w:r w:rsidRPr="00CF1F0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A86" w:rsidRDefault="00A65A86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Default="00A65A86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Default="00A65A86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Default="00A65A86" w:rsidP="006954D7">
      <w:pPr>
        <w:rPr>
          <w:rFonts w:ascii="TH SarabunPSK" w:hAnsi="TH SarabunPSK" w:cs="TH SarabunPSK"/>
          <w:sz w:val="24"/>
          <w:szCs w:val="32"/>
        </w:rPr>
      </w:pPr>
    </w:p>
    <w:p w:rsidR="00825789" w:rsidRDefault="00825789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Default="00A65A86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Default="00A65A86" w:rsidP="006954D7">
      <w:pPr>
        <w:rPr>
          <w:rFonts w:ascii="TH SarabunPSK" w:hAnsi="TH SarabunPSK" w:cs="TH SarabunPSK" w:hint="cs"/>
          <w:sz w:val="24"/>
          <w:szCs w:val="32"/>
        </w:rPr>
      </w:pPr>
    </w:p>
    <w:p w:rsidR="00A65A86" w:rsidRPr="00825789" w:rsidRDefault="00081B1C" w:rsidP="00825789">
      <w:pPr>
        <w:spacing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9pt;margin-top:16.9pt;width:0;height:463.95pt;z-index:251658240" o:connectortype="straight"/>
        </w:pict>
      </w:r>
      <w:r w:rsidR="00A65A86" w:rsidRPr="00825789">
        <w:rPr>
          <w:rFonts w:ascii="TH SarabunPSK" w:hAnsi="TH SarabunPSK" w:cs="TH SarabunPSK" w:hint="cs"/>
          <w:b/>
          <w:bCs/>
          <w:sz w:val="28"/>
          <w:szCs w:val="36"/>
          <w:cs/>
        </w:rPr>
        <w:t>ผลการดำเนินงานรายไตรมาส</w:t>
      </w:r>
    </w:p>
    <w:p w:rsidR="00A65A86" w:rsidRPr="00825789" w:rsidRDefault="00081B1C" w:rsidP="00825789">
      <w:pPr>
        <w:spacing w:line="240" w:lineRule="auto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noProof/>
        </w:rPr>
        <w:pict>
          <v:shape id="_x0000_s1031" type="#_x0000_t32" style="position:absolute;margin-left:54.45pt;margin-top:14.1pt;width:0;height:90.8pt;z-index:251663360" o:connectortype="straight"/>
        </w:pict>
      </w:r>
      <w:r>
        <w:rPr>
          <w:rFonts w:ascii="TH SarabunPSK" w:hAnsi="TH SarabunPSK" w:cs="TH SarabunPSK" w:hint="cs"/>
          <w:noProof/>
        </w:rPr>
        <w:pict>
          <v:shape id="_x0000_s1027" type="#_x0000_t32" style="position:absolute;margin-left:6.9pt;margin-top:10.35pt;width:25.65pt;height:0;z-index:251659264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b/>
          <w:bCs/>
          <w:u w:val="single"/>
          <w:cs/>
        </w:rPr>
        <w:t>ผลการดำเนินงานไตรมาสที่ 1</w:t>
      </w:r>
    </w:p>
    <w:p w:rsidR="00A65A86" w:rsidRPr="00825789" w:rsidRDefault="00081B1C" w:rsidP="00825789">
      <w:pPr>
        <w:pStyle w:val="a4"/>
        <w:numPr>
          <w:ilvl w:val="1"/>
          <w:numId w:val="3"/>
        </w:numPr>
        <w:spacing w:line="240" w:lineRule="auto"/>
        <w:rPr>
          <w:rFonts w:ascii="TH SarabunPSK" w:hAnsi="TH SarabunPSK" w:cs="TH SarabunPSK" w:hint="cs"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3" type="#_x0000_t32" style="position:absolute;left:0;text-align:left;margin-left:98.9pt;margin-top:15.2pt;width:0;height:36.95pt;z-index:251675648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35" type="#_x0000_t32" style="position:absolute;left:0;text-align:left;margin-left:54.45pt;margin-top:10.2pt;width:16.3pt;height:0;z-index:251667456" o:connectortype="straight"/>
        </w:pic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ผลการดำเนินงานการบริหารความเสี่ยง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9" type="#_x0000_t32" style="position:absolute;left:0;text-align:left;margin-left:98.9pt;margin-top:7.65pt;width:7.55pt;height:0;z-index:251681792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>1.1.1 รายงานความก้าวหน้าการบริหารความเสี่ยง ไตรมาสที่ 1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0" type="#_x0000_t32" style="position:absolute;left:0;text-align:left;margin-left:98.9pt;margin-top:8.75pt;width:7.55pt;height:0;z-index:251682816" o:connectortype="straight"/>
        </w:pict>
      </w:r>
      <w:r w:rsidR="00A65A86" w:rsidRPr="00825789">
        <w:rPr>
          <w:rFonts w:ascii="TH SarabunPSK" w:hAnsi="TH SarabunPSK" w:cs="TH SarabunPSK"/>
          <w:cs/>
        </w:rPr>
        <w:t xml:space="preserve">1.1.2  </w:t>
      </w:r>
      <w:r w:rsidR="00A65A86" w:rsidRPr="00825789">
        <w:rPr>
          <w:rFonts w:ascii="TH SarabunPSK" w:hAnsi="TH SarabunPSK" w:cs="TH SarabunPSK" w:hint="cs"/>
          <w:cs/>
        </w:rPr>
        <w:t>ข้อมูลประกอบรายงานผลการบริหารความเสี่ยง ไตรมาสที่ 1</w:t>
      </w:r>
      <w:r w:rsidR="006954D7" w:rsidRPr="00825789">
        <w:rPr>
          <w:rFonts w:ascii="TH SarabunPSK" w:hAnsi="TH SarabunPSK" w:cs="TH SarabunPSK"/>
          <w:cs/>
        </w:rPr>
        <w:t xml:space="preserve">      </w:t>
      </w:r>
    </w:p>
    <w:p w:rsidR="00A65A86" w:rsidRPr="00825789" w:rsidRDefault="00153972" w:rsidP="00825789">
      <w:pPr>
        <w:spacing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61" type="#_x0000_t32" style="position:absolute;margin-left:106.25pt;margin-top:35.45pt;width:7.55pt;height:0;z-index:251694080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62" type="#_x0000_t32" style="position:absolute;margin-left:106.3pt;margin-top:14.4pt;width:.05pt;height:21.05pt;flip:x;z-index:251695104" o:connectortype="straight"/>
        </w:pict>
      </w:r>
      <w:r w:rsidR="00081B1C">
        <w:rPr>
          <w:rFonts w:ascii="TH SarabunPSK" w:hAnsi="TH SarabunPSK" w:cs="TH SarabunPSK" w:hint="cs"/>
          <w:noProof/>
          <w:u w:val="single"/>
        </w:rPr>
        <w:pict>
          <v:shape id="_x0000_s1036" type="#_x0000_t32" style="position:absolute;margin-left:54.45pt;margin-top:9.85pt;width:16.3pt;height:0;z-index:251668480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ab/>
        <w:t xml:space="preserve">1.2 </w: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ผลการดำเนินงานการควบคุมภายใน</w:t>
      </w:r>
    </w:p>
    <w:p w:rsidR="00A65A86" w:rsidRPr="00825789" w:rsidRDefault="00A65A86" w:rsidP="00825789">
      <w:pPr>
        <w:spacing w:line="240" w:lineRule="auto"/>
        <w:rPr>
          <w:rFonts w:ascii="TH SarabunPSK" w:hAnsi="TH SarabunPSK" w:cs="TH SarabunPSK"/>
        </w:rPr>
      </w:pPr>
      <w:r w:rsidRPr="00825789">
        <w:rPr>
          <w:rFonts w:ascii="TH SarabunPSK" w:hAnsi="TH SarabunPSK" w:cs="TH SarabunPSK" w:hint="cs"/>
          <w:cs/>
        </w:rPr>
        <w:tab/>
      </w:r>
      <w:r w:rsidRPr="00825789">
        <w:rPr>
          <w:rFonts w:ascii="TH SarabunPSK" w:hAnsi="TH SarabunPSK" w:cs="TH SarabunPSK" w:hint="cs"/>
          <w:cs/>
        </w:rPr>
        <w:tab/>
        <w:t xml:space="preserve">   </w:t>
      </w:r>
      <w:r w:rsidR="00C24552">
        <w:rPr>
          <w:rFonts w:ascii="TH SarabunPSK" w:hAnsi="TH SarabunPSK" w:cs="TH SarabunPSK" w:hint="cs"/>
          <w:cs/>
        </w:rPr>
        <w:tab/>
      </w:r>
      <w:r w:rsidRPr="00825789">
        <w:rPr>
          <w:rFonts w:ascii="TH SarabunPSK" w:hAnsi="TH SarabunPSK" w:cs="TH SarabunPSK" w:hint="cs"/>
          <w:cs/>
        </w:rPr>
        <w:t xml:space="preserve">  1.2.1 รายงานผลการควบคุมภายในระดับองค์กร ไตรมาสที่ 1</w:t>
      </w:r>
    </w:p>
    <w:p w:rsidR="00A65A86" w:rsidRPr="00825789" w:rsidRDefault="00081B1C" w:rsidP="00081B1C">
      <w:pPr>
        <w:spacing w:line="240" w:lineRule="auto"/>
        <w:ind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32" type="#_x0000_t32" style="position:absolute;left:0;text-align:left;margin-left:54.45pt;margin-top:13.45pt;width:0;height:90.8pt;z-index:251664384" o:connectortype="straight"/>
        </w:pict>
      </w:r>
      <w:r>
        <w:rPr>
          <w:rFonts w:ascii="TH SarabunPSK" w:hAnsi="TH SarabunPSK" w:cs="TH SarabunPSK" w:hint="cs"/>
          <w:noProof/>
        </w:rPr>
        <w:pict>
          <v:shape id="_x0000_s1030" type="#_x0000_t32" style="position:absolute;left:0;text-align:left;margin-left:6.9pt;margin-top:8.95pt;width:25.65pt;height:0;z-index:251662336" o:connectortype="straight"/>
        </w:pict>
      </w:r>
      <w:r w:rsidR="00A65A86" w:rsidRPr="00825789">
        <w:rPr>
          <w:rFonts w:ascii="TH SarabunPSK" w:hAnsi="TH SarabunPSK" w:cs="TH SarabunPSK" w:hint="cs"/>
          <w:b/>
          <w:bCs/>
          <w:u w:val="single"/>
          <w:cs/>
        </w:rPr>
        <w:t>ผลการดำเนินงานไตรมาสที่ 2</w:t>
      </w:r>
    </w:p>
    <w:p w:rsidR="00A65A86" w:rsidRPr="00825789" w:rsidRDefault="00081B1C" w:rsidP="00825789">
      <w:pPr>
        <w:pStyle w:val="a4"/>
        <w:numPr>
          <w:ilvl w:val="1"/>
          <w:numId w:val="4"/>
        </w:numPr>
        <w:spacing w:line="240" w:lineRule="auto"/>
        <w:rPr>
          <w:rFonts w:ascii="TH SarabunPSK" w:hAnsi="TH SarabunPSK" w:cs="TH SarabunPSK" w:hint="cs"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4" type="#_x0000_t32" style="position:absolute;left:0;text-align:left;margin-left:98.9pt;margin-top:17pt;width:0;height:36.95pt;z-index:251676672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37" type="#_x0000_t32" style="position:absolute;left:0;text-align:left;margin-left:54.45pt;margin-top:10pt;width:16.3pt;height:0;z-index:251669504" o:connectortype="straight"/>
        </w:pic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ผลการดำเนินงานการบริหารความเสี่ยง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7" type="#_x0000_t32" style="position:absolute;left:0;text-align:left;margin-left:98.9pt;margin-top:8.1pt;width:7.55pt;height:0;z-index:251679744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>1.1.1 รายงานความก้าวหน้าการบริหารความเสี่ยง ไตรมาสที่ 2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8" type="#_x0000_t32" style="position:absolute;left:0;text-align:left;margin-left:98.9pt;margin-top:10.55pt;width:7.55pt;height:0;z-index:251680768" o:connectortype="straight"/>
        </w:pict>
      </w:r>
      <w:r w:rsidR="00A65A86" w:rsidRPr="00825789">
        <w:rPr>
          <w:rFonts w:ascii="TH SarabunPSK" w:hAnsi="TH SarabunPSK" w:cs="TH SarabunPSK"/>
          <w:cs/>
        </w:rPr>
        <w:t xml:space="preserve">1.1.2  </w:t>
      </w:r>
      <w:r w:rsidR="00A65A86" w:rsidRPr="00825789">
        <w:rPr>
          <w:rFonts w:ascii="TH SarabunPSK" w:hAnsi="TH SarabunPSK" w:cs="TH SarabunPSK" w:hint="cs"/>
          <w:cs/>
        </w:rPr>
        <w:t>ข้อมูลประกอบรายงานผลการบริหารความเสี่ยง ไตรมาสที่ 2</w:t>
      </w:r>
      <w:r w:rsidR="00A65A86" w:rsidRPr="00825789">
        <w:rPr>
          <w:rFonts w:ascii="TH SarabunPSK" w:hAnsi="TH SarabunPSK" w:cs="TH SarabunPSK"/>
          <w:cs/>
        </w:rPr>
        <w:t xml:space="preserve">      </w:t>
      </w:r>
    </w:p>
    <w:p w:rsidR="00A65A86" w:rsidRPr="00825789" w:rsidRDefault="00153972" w:rsidP="00825789">
      <w:pPr>
        <w:spacing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9" type="#_x0000_t32" style="position:absolute;margin-left:101.05pt;margin-top:34.95pt;width:7.55pt;height:0;z-index:251692032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60" type="#_x0000_t32" style="position:absolute;margin-left:101.1pt;margin-top:13.9pt;width:.05pt;height:21.05pt;flip:x;z-index:251693056" o:connectortype="straight"/>
        </w:pict>
      </w:r>
      <w:r w:rsidR="00081B1C">
        <w:rPr>
          <w:rFonts w:ascii="TH SarabunPSK" w:hAnsi="TH SarabunPSK" w:cs="TH SarabunPSK" w:hint="cs"/>
          <w:noProof/>
          <w:u w:val="single"/>
        </w:rPr>
        <w:pict>
          <v:shape id="_x0000_s1038" type="#_x0000_t32" style="position:absolute;margin-left:54.45pt;margin-top:9.2pt;width:16.3pt;height:0;z-index:251670528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ab/>
        <w:t xml:space="preserve">1.2 </w: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ผลการดำเนินงานการควบคุมภายใน</w:t>
      </w:r>
    </w:p>
    <w:p w:rsidR="00A65A86" w:rsidRPr="00825789" w:rsidRDefault="00A65A86" w:rsidP="00C24552">
      <w:pPr>
        <w:spacing w:line="240" w:lineRule="auto"/>
        <w:ind w:left="1440" w:firstLine="720"/>
        <w:rPr>
          <w:rFonts w:ascii="TH SarabunPSK" w:hAnsi="TH SarabunPSK" w:cs="TH SarabunPSK"/>
        </w:rPr>
      </w:pPr>
      <w:r w:rsidRPr="00825789">
        <w:rPr>
          <w:rFonts w:ascii="TH SarabunPSK" w:hAnsi="TH SarabunPSK" w:cs="TH SarabunPSK" w:hint="cs"/>
          <w:cs/>
        </w:rPr>
        <w:t>1.2.1 รายงานผลการควบคุมภายในระดับองค์กร ไตรมาสที่ 2</w:t>
      </w:r>
    </w:p>
    <w:p w:rsidR="00A65A86" w:rsidRPr="00825789" w:rsidRDefault="00081B1C" w:rsidP="00825789">
      <w:pPr>
        <w:spacing w:line="240" w:lineRule="auto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33" type="#_x0000_t32" style="position:absolute;margin-left:54.45pt;margin-top:13.85pt;width:0;height:90.8pt;z-index:251665408" o:connectortype="straight"/>
        </w:pict>
      </w:r>
      <w:r>
        <w:rPr>
          <w:rFonts w:ascii="TH SarabunPSK" w:hAnsi="TH SarabunPSK" w:cs="TH SarabunPSK" w:hint="cs"/>
          <w:noProof/>
        </w:rPr>
        <w:pict>
          <v:shape id="_x0000_s1028" type="#_x0000_t32" style="position:absolute;margin-left:6.9pt;margin-top:9.4pt;width:25.65pt;height:0;z-index:251660288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b/>
          <w:bCs/>
          <w:u w:val="single"/>
          <w:cs/>
        </w:rPr>
        <w:t>ผลการดำเนินงานไตรมาสที่ 3</w:t>
      </w:r>
    </w:p>
    <w:p w:rsidR="00A65A86" w:rsidRPr="00825789" w:rsidRDefault="00081B1C" w:rsidP="00825789">
      <w:pPr>
        <w:pStyle w:val="a4"/>
        <w:numPr>
          <w:ilvl w:val="1"/>
          <w:numId w:val="5"/>
        </w:numPr>
        <w:spacing w:line="240" w:lineRule="auto"/>
        <w:rPr>
          <w:rFonts w:ascii="TH SarabunPSK" w:hAnsi="TH SarabunPSK" w:cs="TH SarabunPSK" w:hint="cs"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5" type="#_x0000_t32" style="position:absolute;left:0;text-align:left;margin-left:98.9pt;margin-top:16.85pt;width:0;height:36.95pt;z-index:251677696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39" type="#_x0000_t32" style="position:absolute;left:0;text-align:left;margin-left:54.45pt;margin-top:9.85pt;width:16.3pt;height:0;z-index:251671552" o:connectortype="straight"/>
        </w:pic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ผลการดำเนินงานการบริหารความเสี่ยง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1" type="#_x0000_t32" style="position:absolute;left:0;text-align:left;margin-left:98.9pt;margin-top:8.55pt;width:7.55pt;height:0;z-index:251683840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>1.1.1 รายงานความก้าวหน้าการบริหารความเสี่ยง ไตรมาสที่ 3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2" type="#_x0000_t32" style="position:absolute;left:0;text-align:left;margin-left:98.9pt;margin-top:10.4pt;width:7.55pt;height:0;z-index:251684864" o:connectortype="straight"/>
        </w:pict>
      </w:r>
      <w:r w:rsidR="00A65A86" w:rsidRPr="00825789">
        <w:rPr>
          <w:rFonts w:ascii="TH SarabunPSK" w:hAnsi="TH SarabunPSK" w:cs="TH SarabunPSK"/>
          <w:cs/>
        </w:rPr>
        <w:t xml:space="preserve">1.1.2  </w:t>
      </w:r>
      <w:r w:rsidR="00A65A86" w:rsidRPr="00825789">
        <w:rPr>
          <w:rFonts w:ascii="TH SarabunPSK" w:hAnsi="TH SarabunPSK" w:cs="TH SarabunPSK" w:hint="cs"/>
          <w:cs/>
        </w:rPr>
        <w:t>ข้อมูลประกอบรายงานผลการบริหารความเสี่ยง ไตรมาสที่ 3</w:t>
      </w:r>
      <w:r w:rsidR="00A65A86" w:rsidRPr="00825789">
        <w:rPr>
          <w:rFonts w:ascii="TH SarabunPSK" w:hAnsi="TH SarabunPSK" w:cs="TH SarabunPSK"/>
          <w:cs/>
        </w:rPr>
        <w:t xml:space="preserve">      </w:t>
      </w:r>
    </w:p>
    <w:p w:rsidR="00A65A86" w:rsidRPr="00825789" w:rsidRDefault="00153972" w:rsidP="00825789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7" type="#_x0000_t32" style="position:absolute;margin-left:101.15pt;margin-top:34pt;width:7.55pt;height:0;z-index:251689984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58" type="#_x0000_t32" style="position:absolute;margin-left:101.2pt;margin-top:12.95pt;width:.05pt;height:21.05pt;flip:x;z-index:251691008" o:connectortype="straight"/>
        </w:pict>
      </w:r>
      <w:r w:rsidR="00081B1C">
        <w:rPr>
          <w:rFonts w:ascii="TH SarabunPSK" w:hAnsi="TH SarabunPSK" w:cs="TH SarabunPSK" w:hint="cs"/>
          <w:noProof/>
          <w:u w:val="single"/>
        </w:rPr>
        <w:pict>
          <v:shape id="_x0000_s1040" type="#_x0000_t32" style="position:absolute;margin-left:54.45pt;margin-top:9.6pt;width:16.3pt;height:0;z-index:251672576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ab/>
        <w:t xml:space="preserve">1.2 </w: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ผลการดำเนินงานการควบคุมภายใน</w:t>
      </w:r>
    </w:p>
    <w:p w:rsidR="00A65A86" w:rsidRPr="00825789" w:rsidRDefault="00A65A86" w:rsidP="00C24552">
      <w:pPr>
        <w:spacing w:line="240" w:lineRule="auto"/>
        <w:ind w:left="1440" w:firstLine="720"/>
        <w:rPr>
          <w:rFonts w:ascii="TH SarabunPSK" w:hAnsi="TH SarabunPSK" w:cs="TH SarabunPSK" w:hint="cs"/>
        </w:rPr>
      </w:pPr>
      <w:r w:rsidRPr="00825789">
        <w:rPr>
          <w:rFonts w:ascii="TH SarabunPSK" w:hAnsi="TH SarabunPSK" w:cs="TH SarabunPSK" w:hint="cs"/>
          <w:cs/>
        </w:rPr>
        <w:t>1.2.1 รายงานผลการควบคุมภายในระดับองค์กร ไตรมาสที่ 3</w:t>
      </w:r>
    </w:p>
    <w:p w:rsidR="00A65A86" w:rsidRPr="00825789" w:rsidRDefault="00081B1C" w:rsidP="00825789">
      <w:pPr>
        <w:spacing w:line="240" w:lineRule="auto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34" type="#_x0000_t32" style="position:absolute;margin-left:54.45pt;margin-top:14.4pt;width:0;height:90.8pt;z-index:251666432" o:connectortype="straight"/>
        </w:pict>
      </w:r>
      <w:r>
        <w:rPr>
          <w:rFonts w:ascii="TH SarabunPSK" w:hAnsi="TH SarabunPSK" w:cs="TH SarabunPSK" w:hint="cs"/>
          <w:noProof/>
        </w:rPr>
        <w:pict>
          <v:shape id="_x0000_s1029" type="#_x0000_t32" style="position:absolute;margin-left:6.9pt;margin-top:10.45pt;width:25.65pt;height:0;z-index:251661312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b/>
          <w:bCs/>
          <w:u w:val="single"/>
          <w:cs/>
        </w:rPr>
        <w:t>ผลการดำเนินงานไตรมาสที่ 4</w:t>
      </w:r>
    </w:p>
    <w:p w:rsidR="00A65A86" w:rsidRPr="00825789" w:rsidRDefault="00081B1C" w:rsidP="00825789">
      <w:pPr>
        <w:pStyle w:val="a4"/>
        <w:numPr>
          <w:ilvl w:val="1"/>
          <w:numId w:val="6"/>
        </w:numPr>
        <w:spacing w:line="240" w:lineRule="auto"/>
        <w:rPr>
          <w:rFonts w:ascii="TH SarabunPSK" w:hAnsi="TH SarabunPSK" w:cs="TH SarabunPSK" w:hint="cs"/>
          <w:u w:val="single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46" type="#_x0000_t32" style="position:absolute;left:0;text-align:left;margin-left:98.9pt;margin-top:16.1pt;width:0;height:36.95pt;z-index:251678720" o:connectortype="straight"/>
        </w:pict>
      </w:r>
      <w:r>
        <w:rPr>
          <w:rFonts w:ascii="TH SarabunPSK" w:hAnsi="TH SarabunPSK" w:cs="TH SarabunPSK" w:hint="cs"/>
          <w:noProof/>
          <w:u w:val="single"/>
        </w:rPr>
        <w:pict>
          <v:shape id="_x0000_s1041" type="#_x0000_t32" style="position:absolute;left:0;text-align:left;margin-left:54.45pt;margin-top:10.95pt;width:16.3pt;height:0;z-index:251673600" o:connectortype="straight"/>
        </w:pic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ผลการดำเนินงานการบริหารความเสี่ยง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3" type="#_x0000_t32" style="position:absolute;left:0;text-align:left;margin-left:98.9pt;margin-top:8.35pt;width:7.55pt;height:0;z-index:251685888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>1.1.1 รายงานความก้าวหน้าการบริหารความเสี่ยง ไตรมาสที่ 4</w:t>
      </w:r>
    </w:p>
    <w:p w:rsidR="00A65A86" w:rsidRPr="00825789" w:rsidRDefault="00081B1C" w:rsidP="00C24552">
      <w:pPr>
        <w:spacing w:line="240" w:lineRule="auto"/>
        <w:ind w:left="1800" w:firstLine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4" type="#_x0000_t32" style="position:absolute;left:0;text-align:left;margin-left:98.9pt;margin-top:9.65pt;width:7.55pt;height:0;z-index:251686912" o:connectortype="straight"/>
        </w:pict>
      </w:r>
      <w:r w:rsidR="00A65A86" w:rsidRPr="00825789">
        <w:rPr>
          <w:rFonts w:ascii="TH SarabunPSK" w:hAnsi="TH SarabunPSK" w:cs="TH SarabunPSK"/>
          <w:cs/>
        </w:rPr>
        <w:t xml:space="preserve">1.1.2  </w:t>
      </w:r>
      <w:r w:rsidR="00A65A86" w:rsidRPr="00825789">
        <w:rPr>
          <w:rFonts w:ascii="TH SarabunPSK" w:hAnsi="TH SarabunPSK" w:cs="TH SarabunPSK" w:hint="cs"/>
          <w:cs/>
        </w:rPr>
        <w:t>ข้อมูลประกอบรายงานผลการบริหารความเสี่ยง ไตรมาสที่ 4</w:t>
      </w:r>
      <w:r w:rsidR="00A65A86" w:rsidRPr="00825789">
        <w:rPr>
          <w:rFonts w:ascii="TH SarabunPSK" w:hAnsi="TH SarabunPSK" w:cs="TH SarabunPSK"/>
          <w:cs/>
        </w:rPr>
        <w:t xml:space="preserve">      </w:t>
      </w:r>
    </w:p>
    <w:p w:rsidR="00A65A86" w:rsidRPr="00825789" w:rsidRDefault="00153972" w:rsidP="00825789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6" type="#_x0000_t32" style="position:absolute;margin-left:98.85pt;margin-top:13.95pt;width:.05pt;height:21.05pt;flip:x;z-index:251688960" o:connectortype="straight"/>
        </w:pict>
      </w:r>
      <w:r w:rsidR="00081B1C">
        <w:rPr>
          <w:rFonts w:ascii="TH SarabunPSK" w:hAnsi="TH SarabunPSK" w:cs="TH SarabunPSK" w:hint="cs"/>
          <w:noProof/>
          <w:u w:val="single"/>
        </w:rPr>
        <w:pict>
          <v:shape id="_x0000_s1042" type="#_x0000_t32" style="position:absolute;margin-left:54.45pt;margin-top:10.2pt;width:16.3pt;height:0;z-index:251674624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ab/>
        <w:t xml:space="preserve">1.2 </w:t>
      </w:r>
      <w:r w:rsidR="00A65A86" w:rsidRPr="00825789">
        <w:rPr>
          <w:rFonts w:ascii="TH SarabunPSK" w:hAnsi="TH SarabunPSK" w:cs="TH SarabunPSK" w:hint="cs"/>
          <w:u w:val="single"/>
          <w:cs/>
        </w:rPr>
        <w:t>ผลการดำเนินงานการควบคุมภายใน</w:t>
      </w:r>
    </w:p>
    <w:p w:rsidR="00A65A86" w:rsidRPr="00825789" w:rsidRDefault="00153972" w:rsidP="00825789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u w:val="single"/>
        </w:rPr>
        <w:pict>
          <v:shape id="_x0000_s1055" type="#_x0000_t32" style="position:absolute;margin-left:98.8pt;margin-top:9.15pt;width:7.55pt;height:0;z-index:251687936" o:connectortype="straight"/>
        </w:pict>
      </w:r>
      <w:r w:rsidR="00A65A86" w:rsidRPr="00825789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ab/>
        <w:t xml:space="preserve">     </w:t>
      </w:r>
      <w:r w:rsidR="00C24552">
        <w:rPr>
          <w:rFonts w:ascii="TH SarabunPSK" w:hAnsi="TH SarabunPSK" w:cs="TH SarabunPSK" w:hint="cs"/>
          <w:cs/>
        </w:rPr>
        <w:tab/>
      </w:r>
      <w:r w:rsidR="00A65A86" w:rsidRPr="00825789">
        <w:rPr>
          <w:rFonts w:ascii="TH SarabunPSK" w:hAnsi="TH SarabunPSK" w:cs="TH SarabunPSK" w:hint="cs"/>
          <w:cs/>
        </w:rPr>
        <w:t>1.2.1 รายงานผลการควบคุมภายในระดับองค์กร ไตรมาสที่ 4</w:t>
      </w:r>
    </w:p>
    <w:p w:rsidR="00A65A86" w:rsidRPr="00A65A86" w:rsidRDefault="00A65A86" w:rsidP="00825789">
      <w:pPr>
        <w:spacing w:line="240" w:lineRule="auto"/>
        <w:rPr>
          <w:rFonts w:ascii="TH SarabunPSK" w:hAnsi="TH SarabunPSK" w:cs="TH SarabunPSK" w:hint="cs"/>
          <w:cs/>
        </w:rPr>
      </w:pPr>
      <w:r w:rsidRPr="00825789">
        <w:rPr>
          <w:rFonts w:ascii="TH SarabunPSK" w:hAnsi="TH SarabunPSK" w:cs="TH SarabunPSK" w:hint="cs"/>
          <w:cs/>
        </w:rPr>
        <w:tab/>
      </w:r>
      <w:r w:rsidRPr="00825789">
        <w:rPr>
          <w:rFonts w:ascii="TH SarabunPSK" w:hAnsi="TH SarabunPSK" w:cs="TH SarabunPSK" w:hint="cs"/>
          <w:cs/>
        </w:rPr>
        <w:tab/>
      </w:r>
      <w:r w:rsidRPr="00A65A86">
        <w:rPr>
          <w:rFonts w:ascii="TH SarabunPSK" w:hAnsi="TH SarabunPSK" w:cs="TH SarabunPSK"/>
          <w:sz w:val="24"/>
          <w:szCs w:val="32"/>
          <w:cs/>
        </w:rPr>
        <w:t xml:space="preserve"> </w:t>
      </w:r>
    </w:p>
    <w:sectPr w:rsidR="00A65A86" w:rsidRPr="00A65A86" w:rsidSect="0082578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854"/>
    <w:multiLevelType w:val="hybridMultilevel"/>
    <w:tmpl w:val="1E589256"/>
    <w:lvl w:ilvl="0" w:tplc="1D3251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ED07ACD"/>
    <w:multiLevelType w:val="multilevel"/>
    <w:tmpl w:val="CAFA8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2">
    <w:nsid w:val="13611531"/>
    <w:multiLevelType w:val="multilevel"/>
    <w:tmpl w:val="CAFA8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3">
    <w:nsid w:val="46224F69"/>
    <w:multiLevelType w:val="multilevel"/>
    <w:tmpl w:val="CAFA8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4">
    <w:nsid w:val="47F82F3E"/>
    <w:multiLevelType w:val="multilevel"/>
    <w:tmpl w:val="CAFA8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5">
    <w:nsid w:val="6D6344DD"/>
    <w:multiLevelType w:val="hybridMultilevel"/>
    <w:tmpl w:val="1F5A355E"/>
    <w:lvl w:ilvl="0" w:tplc="D1B0C58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DB578C"/>
    <w:rsid w:val="00081B1C"/>
    <w:rsid w:val="00117B28"/>
    <w:rsid w:val="00153972"/>
    <w:rsid w:val="001C30FC"/>
    <w:rsid w:val="00367486"/>
    <w:rsid w:val="00595D9D"/>
    <w:rsid w:val="006954D7"/>
    <w:rsid w:val="00825789"/>
    <w:rsid w:val="00A65A86"/>
    <w:rsid w:val="00AA72A2"/>
    <w:rsid w:val="00AD5D11"/>
    <w:rsid w:val="00C24552"/>
    <w:rsid w:val="00CF1F01"/>
    <w:rsid w:val="00D66378"/>
    <w:rsid w:val="00D90DD7"/>
    <w:rsid w:val="00DB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4" type="connector" idref="#_x0000_s1035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42"/>
        <o:r id="V:Rule23" type="connector" idref="#_x0000_s1043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  <o:r id="V:Rule28" type="connector" idref="#_x0000_s1048"/>
        <o:r id="V:Rule29" type="connector" idref="#_x0000_s1049"/>
        <o:r id="V:Rule30" type="connector" idref="#_x0000_s1050"/>
        <o:r id="V:Rule31" type="connector" idref="#_x0000_s1051"/>
        <o:r id="V:Rule32" type="connector" idref="#_x0000_s1052"/>
        <o:r id="V:Rule33" type="connector" idref="#_x0000_s1053"/>
        <o:r id="V:Rule34" type="connector" idref="#_x0000_s1054"/>
        <o:r id="V:Rule35" type="connector" idref="#_x0000_s1055"/>
        <o:r id="V:Rule37" type="connector" idref="#_x0000_s1056"/>
        <o:r id="V:Rule38" type="connector" idref="#_x0000_s1057"/>
        <o:r id="V:Rule39" type="connector" idref="#_x0000_s1058"/>
        <o:r id="V:Rule40" type="connector" idref="#_x0000_s1059"/>
        <o:r id="V:Rule41" type="connector" idref="#_x0000_s1060"/>
        <o:r id="V:Rule42" type="connector" idref="#_x0000_s1061"/>
        <o:r id="V:Rule43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D7"/>
    <w:pPr>
      <w:spacing w:after="0" w:line="360" w:lineRule="atLeast"/>
      <w:ind w:left="720" w:hanging="357"/>
      <w:contextualSpacing/>
      <w:jc w:val="thaiDistribut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5CAC-28FD-44C9-99FD-B58FB97E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8</cp:revision>
  <cp:lastPrinted>2015-12-01T03:42:00Z</cp:lastPrinted>
  <dcterms:created xsi:type="dcterms:W3CDTF">2015-11-26T03:41:00Z</dcterms:created>
  <dcterms:modified xsi:type="dcterms:W3CDTF">2015-12-01T04:03:00Z</dcterms:modified>
</cp:coreProperties>
</file>